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7B208">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center"/>
        <w:textAlignment w:val="auto"/>
        <w:rPr>
          <w:rFonts w:hAnsi="宋体"/>
          <w:b/>
          <w:bCs/>
          <w:sz w:val="32"/>
          <w:szCs w:val="32"/>
        </w:rPr>
      </w:pPr>
      <w:r>
        <w:rPr>
          <w:rFonts w:hint="eastAsia" w:hAnsi="宋体"/>
          <w:b/>
          <w:bCs/>
          <w:sz w:val="32"/>
          <w:szCs w:val="32"/>
        </w:rPr>
        <w:t>《</w:t>
      </w:r>
      <w:r>
        <w:rPr>
          <w:rFonts w:hint="eastAsia" w:hAnsi="宋体"/>
          <w:b/>
          <w:bCs/>
          <w:sz w:val="32"/>
          <w:szCs w:val="32"/>
          <w:lang w:val="en-US" w:eastAsia="zh-CN"/>
        </w:rPr>
        <w:t>洗碗机</w:t>
      </w:r>
      <w:r>
        <w:rPr>
          <w:rFonts w:hint="eastAsia" w:hAnsi="宋体"/>
          <w:b/>
          <w:bCs/>
          <w:sz w:val="32"/>
          <w:szCs w:val="32"/>
        </w:rPr>
        <w:t>能效</w:t>
      </w:r>
      <w:r>
        <w:rPr>
          <w:rFonts w:hint="eastAsia" w:hAnsi="宋体"/>
          <w:b/>
          <w:bCs/>
          <w:sz w:val="32"/>
          <w:szCs w:val="32"/>
          <w:lang w:val="en-US" w:eastAsia="zh-CN"/>
        </w:rPr>
        <w:t>水效</w:t>
      </w:r>
      <w:r>
        <w:rPr>
          <w:rFonts w:hint="eastAsia" w:hAnsi="宋体"/>
          <w:b/>
          <w:bCs/>
          <w:sz w:val="32"/>
          <w:szCs w:val="32"/>
        </w:rPr>
        <w:t>测量装置校准规范》</w:t>
      </w:r>
    </w:p>
    <w:p w14:paraId="25B9E96B">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center"/>
        <w:textAlignment w:val="auto"/>
        <w:rPr>
          <w:b/>
          <w:bCs/>
          <w:sz w:val="32"/>
          <w:szCs w:val="32"/>
        </w:rPr>
      </w:pPr>
      <w:r>
        <w:rPr>
          <w:b/>
          <w:bCs/>
          <w:sz w:val="32"/>
          <w:szCs w:val="32"/>
        </w:rPr>
        <w:t>编</w:t>
      </w:r>
      <w:r>
        <w:rPr>
          <w:rFonts w:hint="eastAsia"/>
          <w:b/>
          <w:bCs/>
          <w:sz w:val="32"/>
          <w:szCs w:val="32"/>
        </w:rPr>
        <w:t>制</w:t>
      </w:r>
      <w:r>
        <w:rPr>
          <w:b/>
          <w:bCs/>
          <w:sz w:val="32"/>
          <w:szCs w:val="32"/>
        </w:rPr>
        <w:t>说明</w:t>
      </w:r>
    </w:p>
    <w:p w14:paraId="7BDCA3AC">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1. 任务来源</w:t>
      </w:r>
    </w:p>
    <w:p w14:paraId="0CA07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本规范依据“市场监管总局计量司关于</w:t>
      </w:r>
      <w:r>
        <w:rPr>
          <w:rFonts w:hint="eastAsia"/>
          <w:sz w:val="24"/>
          <w:lang w:val="en-US" w:eastAsia="zh-CN"/>
        </w:rPr>
        <w:t>印发2023年</w:t>
      </w:r>
      <w:r>
        <w:rPr>
          <w:rFonts w:hint="eastAsia"/>
          <w:sz w:val="24"/>
        </w:rPr>
        <w:t>国家计量技术规范</w:t>
      </w:r>
      <w:r>
        <w:rPr>
          <w:rFonts w:hint="eastAsia"/>
          <w:sz w:val="24"/>
          <w:lang w:val="en-US" w:eastAsia="zh-CN"/>
        </w:rPr>
        <w:t>项目</w:t>
      </w:r>
      <w:r>
        <w:rPr>
          <w:rFonts w:hint="eastAsia"/>
          <w:sz w:val="24"/>
        </w:rPr>
        <w:t>制定、修订及宣贯计划的通知”（</w:t>
      </w:r>
      <w:r>
        <w:rPr>
          <w:rFonts w:hint="eastAsia"/>
          <w:sz w:val="24"/>
          <w:lang w:val="en-US" w:eastAsia="zh-CN"/>
        </w:rPr>
        <w:t>市监</w:t>
      </w:r>
      <w:r>
        <w:rPr>
          <w:rFonts w:hint="eastAsia"/>
          <w:sz w:val="24"/>
        </w:rPr>
        <w:t>计量</w:t>
      </w:r>
      <w:r>
        <w:rPr>
          <w:rFonts w:hint="eastAsia"/>
          <w:sz w:val="24"/>
          <w:lang w:val="en-US" w:eastAsia="zh-CN"/>
        </w:rPr>
        <w:t>发</w:t>
      </w:r>
      <w:r>
        <w:rPr>
          <w:rFonts w:hint="eastAsia"/>
          <w:sz w:val="24"/>
        </w:rPr>
        <w:t>[</w:t>
      </w:r>
      <w:r>
        <w:rPr>
          <w:rFonts w:hint="eastAsia"/>
          <w:sz w:val="24"/>
          <w:lang w:val="en-US" w:eastAsia="zh-CN"/>
        </w:rPr>
        <w:t>2023</w:t>
      </w:r>
      <w:r>
        <w:rPr>
          <w:rFonts w:hint="eastAsia"/>
          <w:sz w:val="24"/>
        </w:rPr>
        <w:t>]</w:t>
      </w:r>
      <w:r>
        <w:rPr>
          <w:rFonts w:hint="eastAsia"/>
          <w:sz w:val="24"/>
          <w:lang w:val="en-US" w:eastAsia="zh-CN"/>
        </w:rPr>
        <w:t>56</w:t>
      </w:r>
      <w:r>
        <w:rPr>
          <w:rFonts w:hint="eastAsia"/>
          <w:sz w:val="24"/>
        </w:rPr>
        <w:t>号）文件</w:t>
      </w:r>
      <w:r>
        <w:rPr>
          <w:rFonts w:hint="eastAsia"/>
          <w:sz w:val="24"/>
          <w:lang w:val="en-US" w:eastAsia="zh-CN"/>
        </w:rPr>
        <w:t>和</w:t>
      </w:r>
      <w:r>
        <w:rPr>
          <w:rFonts w:hint="eastAsia"/>
          <w:sz w:val="24"/>
        </w:rPr>
        <w:t>全国能源资源计量技术委员会能效标识计量分技术委员会秘书处要求编制，由</w:t>
      </w:r>
      <w:r>
        <w:rPr>
          <w:rFonts w:hint="eastAsia"/>
          <w:sz w:val="24"/>
          <w:lang w:val="en-US" w:eastAsia="zh-CN"/>
        </w:rPr>
        <w:t>浙江省计量</w:t>
      </w:r>
      <w:r>
        <w:rPr>
          <w:rFonts w:hint="eastAsia"/>
          <w:sz w:val="24"/>
        </w:rPr>
        <w:t>科学研究院和</w:t>
      </w:r>
      <w:r>
        <w:rPr>
          <w:rFonts w:hint="eastAsia"/>
          <w:sz w:val="24"/>
          <w:lang w:val="en-US" w:eastAsia="zh-CN"/>
        </w:rPr>
        <w:t>上海市</w:t>
      </w:r>
      <w:r>
        <w:rPr>
          <w:rFonts w:hint="eastAsia"/>
          <w:sz w:val="24"/>
        </w:rPr>
        <w:t>计量</w:t>
      </w:r>
      <w:r>
        <w:rPr>
          <w:rFonts w:hint="eastAsia"/>
          <w:sz w:val="24"/>
          <w:lang w:val="en-US" w:eastAsia="zh-CN"/>
        </w:rPr>
        <w:t>计量测试技术研究院</w:t>
      </w:r>
      <w:r>
        <w:rPr>
          <w:rFonts w:hint="eastAsia"/>
          <w:sz w:val="24"/>
        </w:rPr>
        <w:t>负责起草。</w:t>
      </w:r>
    </w:p>
    <w:p w14:paraId="16D03489">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2. 参加单位</w:t>
      </w:r>
    </w:p>
    <w:p w14:paraId="368C27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本规范</w:t>
      </w:r>
      <w:r>
        <w:rPr>
          <w:rFonts w:hint="eastAsia" w:ascii="Times New Roman" w:hAnsi="Times New Roman" w:cs="Times New Roman"/>
          <w:sz w:val="24"/>
          <w:lang w:val="en-US" w:eastAsia="zh-CN"/>
        </w:rPr>
        <w:t>由浙江</w:t>
      </w:r>
      <w:r>
        <w:rPr>
          <w:rFonts w:hint="eastAsia" w:ascii="Times New Roman" w:hAnsi="Times New Roman" w:cs="Times New Roman"/>
          <w:sz w:val="24"/>
        </w:rPr>
        <w:t>省计量科学研究院负责牵头起草</w:t>
      </w:r>
      <w:r>
        <w:rPr>
          <w:rFonts w:hint="eastAsia" w:ascii="Times New Roman" w:hAnsi="Times New Roman" w:cs="Times New Roman"/>
          <w:sz w:val="24"/>
          <w:lang w:val="en-US" w:eastAsia="zh-CN"/>
        </w:rPr>
        <w:t>，参与</w:t>
      </w:r>
      <w:r>
        <w:rPr>
          <w:rFonts w:hint="eastAsia" w:ascii="Times New Roman" w:hAnsi="Times New Roman" w:cs="Times New Roman"/>
          <w:sz w:val="24"/>
        </w:rPr>
        <w:t>起草单位</w:t>
      </w:r>
      <w:r>
        <w:rPr>
          <w:rFonts w:hint="eastAsia" w:ascii="Times New Roman" w:hAnsi="Times New Roman" w:cs="Times New Roman"/>
          <w:sz w:val="24"/>
          <w:lang w:val="en-US" w:eastAsia="zh-CN"/>
        </w:rPr>
        <w:t>包括</w:t>
      </w:r>
      <w:r>
        <w:rPr>
          <w:rFonts w:hint="eastAsia"/>
          <w:sz w:val="24"/>
          <w:lang w:val="en-US" w:eastAsia="zh-CN"/>
        </w:rPr>
        <w:t>上海市</w:t>
      </w:r>
      <w:r>
        <w:rPr>
          <w:rFonts w:hint="eastAsia"/>
          <w:sz w:val="24"/>
        </w:rPr>
        <w:t>计量</w:t>
      </w:r>
      <w:r>
        <w:rPr>
          <w:rFonts w:hint="eastAsia"/>
          <w:sz w:val="24"/>
          <w:lang w:val="en-US" w:eastAsia="zh-CN"/>
        </w:rPr>
        <w:t>计量测试技术研究院</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宁波方太厨具有限公司</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杭州老板电器股份有限公司</w:t>
      </w:r>
      <w:r>
        <w:rPr>
          <w:rFonts w:hint="eastAsia" w:ascii="Times New Roman" w:hAnsi="Times New Roman" w:cs="Times New Roman"/>
          <w:sz w:val="24"/>
          <w:lang w:eastAsia="zh-CN"/>
        </w:rPr>
        <w:t>和</w:t>
      </w:r>
      <w:r>
        <w:rPr>
          <w:rFonts w:hint="eastAsia" w:ascii="Times New Roman" w:hAnsi="Times New Roman" w:cs="Times New Roman"/>
          <w:sz w:val="24"/>
          <w:lang w:val="en-US" w:eastAsia="zh-CN"/>
        </w:rPr>
        <w:t>青岛声达技术有限公司等</w:t>
      </w:r>
      <w:r>
        <w:rPr>
          <w:rFonts w:hint="eastAsia" w:ascii="Times New Roman" w:hAnsi="Times New Roman" w:cs="Times New Roman"/>
          <w:sz w:val="24"/>
        </w:rPr>
        <w:t>。</w:t>
      </w:r>
    </w:p>
    <w:p w14:paraId="33CF6E1D">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3. 背景和意义</w:t>
      </w:r>
    </w:p>
    <w:p w14:paraId="52A335FD">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int="eastAsia" w:hAnsi="宋体"/>
          <w:sz w:val="24"/>
          <w:szCs w:val="24"/>
        </w:rPr>
      </w:pPr>
      <w:r>
        <w:rPr>
          <w:rFonts w:hint="eastAsia" w:hAnsi="宋体"/>
          <w:sz w:val="24"/>
          <w:szCs w:val="24"/>
          <w:lang w:val="en-US" w:eastAsia="zh-CN"/>
        </w:rPr>
        <w:t>洗碗机自上世纪八九十年代起</w:t>
      </w:r>
      <w:r>
        <w:rPr>
          <w:rFonts w:hint="eastAsia" w:hAnsi="宋体"/>
          <w:sz w:val="24"/>
          <w:szCs w:val="24"/>
        </w:rPr>
        <w:t>在欧美国家逐步普及，欧洲、澳洲、美洲能效标准、能效指令及能效抽查相对比较规范。我国近年来随着人民生活水平的提高，洗碗机市场增长迅猛，2019年达到160余万台，今年上半年洗碗机销量近100万台，较去年同期增长超30%。在全球大部分发达和发展中国家中，洗碗机作为一种常见的</w:t>
      </w:r>
      <w:r>
        <w:rPr>
          <w:rFonts w:hint="eastAsia" w:hAnsi="宋体"/>
          <w:sz w:val="24"/>
          <w:szCs w:val="24"/>
        </w:rPr>
        <w:fldChar w:fldCharType="begin"/>
      </w:r>
      <w:r>
        <w:rPr>
          <w:rFonts w:hint="eastAsia" w:hAnsi="宋体"/>
          <w:sz w:val="24"/>
          <w:szCs w:val="24"/>
        </w:rPr>
        <w:instrText xml:space="preserve"> HYPERLINK "http://kitchen.cheaa.com/" \t "_blank" </w:instrText>
      </w:r>
      <w:r>
        <w:rPr>
          <w:rFonts w:hint="eastAsia" w:hAnsi="宋体"/>
          <w:sz w:val="24"/>
          <w:szCs w:val="24"/>
        </w:rPr>
        <w:fldChar w:fldCharType="separate"/>
      </w:r>
      <w:r>
        <w:rPr>
          <w:rFonts w:hint="eastAsia" w:hAnsi="宋体"/>
          <w:sz w:val="24"/>
          <w:szCs w:val="24"/>
        </w:rPr>
        <w:t>厨房电器</w:t>
      </w:r>
      <w:r>
        <w:rPr>
          <w:rFonts w:hint="eastAsia" w:hAnsi="宋体"/>
          <w:sz w:val="24"/>
          <w:szCs w:val="24"/>
        </w:rPr>
        <w:fldChar w:fldCharType="end"/>
      </w:r>
      <w:r>
        <w:rPr>
          <w:rFonts w:hint="eastAsia" w:hAnsi="宋体"/>
          <w:sz w:val="24"/>
          <w:szCs w:val="24"/>
        </w:rPr>
        <w:t>，已覆盖了40%～90%的普通家庭，美国90%的家庭拥有洗碗机，亚洲40%的家庭拥有洗碗机。而我国仅有不到1%的家庭拥有洗碗机。</w:t>
      </w:r>
    </w:p>
    <w:p w14:paraId="177CD00C">
      <w:pPr>
        <w:keepNext w:val="0"/>
        <w:keepLines w:val="0"/>
        <w:pageBreakBefore w:val="0"/>
        <w:widowControl w:val="0"/>
        <w:kinsoku/>
        <w:wordWrap/>
        <w:overflowPunct/>
        <w:topLinePunct w:val="0"/>
        <w:autoSpaceDE/>
        <w:autoSpaceDN/>
        <w:bidi w:val="0"/>
        <w:adjustRightInd/>
        <w:snapToGrid/>
        <w:spacing w:beforeLines="50" w:line="360" w:lineRule="auto"/>
        <w:textAlignment w:val="auto"/>
        <w:rPr>
          <w:rFonts w:hint="default" w:ascii="Times New Roman" w:hAnsi="Times New Roman" w:eastAsia="宋体" w:cs="Times New Roman"/>
          <w:b/>
          <w:sz w:val="24"/>
          <w:lang w:val="en-US" w:eastAsia="zh-CN"/>
        </w:rPr>
      </w:pPr>
      <w:r>
        <w:rPr>
          <w:rFonts w:hint="eastAsia" w:ascii="Times New Roman" w:hAnsi="Times New Roman" w:eastAsia="宋体" w:cs="Times New Roman"/>
          <w:b/>
          <w:sz w:val="24"/>
          <w:lang w:val="en-US" w:eastAsia="zh-CN"/>
        </w:rPr>
        <w:t>3.1 洗碗机产品标准现状</w:t>
      </w:r>
    </w:p>
    <w:p w14:paraId="4459CE92">
      <w:pPr>
        <w:pStyle w:val="2"/>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rFonts w:hint="eastAsia" w:ascii="Times New Roman" w:hAnsi="宋体" w:eastAsia="宋体" w:cs="Times New Roman"/>
          <w:sz w:val="24"/>
          <w:szCs w:val="24"/>
          <w:lang w:val="en-US" w:eastAsia="zh-CN"/>
        </w:rPr>
      </w:pPr>
      <w:r>
        <w:rPr>
          <w:rFonts w:hint="eastAsia" w:ascii="Times New Roman" w:hAnsi="宋体" w:eastAsia="宋体" w:cs="Times New Roman"/>
          <w:sz w:val="24"/>
          <w:szCs w:val="24"/>
          <w:lang w:val="en-US" w:eastAsia="zh-CN"/>
        </w:rPr>
        <w:t>GB 38383-2019《洗碗机能效水效限定值及等级》国家标准，于2021年1月1日实施，标准将洗碗机能效等级分为5级，其中1级表示能效最高。按照洗碗机的实测能效指数、水效指数、干燥指数、清洁指数对洗碗机能效分级，各等级实测能效指数、水效指数、干燥指数、清洁指数均应达到表的规定。而规定的水效能级同样也分为5级，其中1级表示水效最高。</w:t>
      </w:r>
    </w:p>
    <w:p w14:paraId="352E5817">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hAnsiTheme="minorEastAsia" w:eastAsiaTheme="minorEastAsia"/>
          <w:sz w:val="24"/>
          <w:lang w:val="en-US" w:eastAsia="zh-CN"/>
        </w:rPr>
      </w:pPr>
      <w:r>
        <w:rPr>
          <w:rFonts w:hint="eastAsia" w:hAnsiTheme="minorEastAsia" w:eastAsiaTheme="minorEastAsia"/>
          <w:sz w:val="24"/>
          <w:lang w:val="en-US" w:eastAsia="zh-CN"/>
        </w:rPr>
        <w:t>2018年，ISO/PC316水效产品：分类由ISO技术管理局批准成立，其目的是在全球范围内建立统一的用水产品水效测试方法和分级指标，以便推广高效节水产品，节约水资源，提高产品用水效率，促进各国在用水产品水效标准的协调统一。 2018年开始了ISO31600标准的制定，标准产品包含淋浴器、水嘴、所有便器、净水器、洗碗机等。</w:t>
      </w:r>
    </w:p>
    <w:p w14:paraId="79180C8D">
      <w:pPr>
        <w:keepNext w:val="0"/>
        <w:keepLines w:val="0"/>
        <w:pageBreakBefore w:val="0"/>
        <w:widowControl w:val="0"/>
        <w:kinsoku/>
        <w:wordWrap/>
        <w:overflowPunct/>
        <w:topLinePunct w:val="0"/>
        <w:autoSpaceDE/>
        <w:autoSpaceDN/>
        <w:bidi w:val="0"/>
        <w:adjustRightInd/>
        <w:snapToGrid/>
        <w:spacing w:beforeLines="50" w:line="360" w:lineRule="auto"/>
        <w:textAlignment w:val="auto"/>
        <w:rPr>
          <w:rFonts w:hint="eastAsia" w:ascii="Times New Roman" w:hAnsi="Times New Roman" w:eastAsia="宋体" w:cs="Times New Roman"/>
          <w:b/>
          <w:sz w:val="24"/>
          <w:lang w:val="en-US" w:eastAsia="zh-CN"/>
        </w:rPr>
      </w:pPr>
      <w:r>
        <w:rPr>
          <w:rFonts w:hint="eastAsia" w:ascii="Times New Roman" w:hAnsi="Times New Roman" w:eastAsia="宋体" w:cs="Times New Roman"/>
          <w:b/>
          <w:sz w:val="24"/>
          <w:lang w:val="en-US" w:eastAsia="zh-CN"/>
        </w:rPr>
        <w:t>3.2 洗碗机能效水效管理现状</w:t>
      </w:r>
    </w:p>
    <w:p w14:paraId="0B3E9363">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hAnsiTheme="minorEastAsia" w:eastAsiaTheme="minorEastAsia"/>
          <w:sz w:val="24"/>
          <w:lang w:val="en-US" w:eastAsia="zh-CN"/>
        </w:rPr>
      </w:pPr>
      <w:r>
        <w:rPr>
          <w:rFonts w:hint="eastAsia" w:hAnsiTheme="minorEastAsia" w:eastAsiaTheme="minorEastAsia"/>
          <w:sz w:val="24"/>
          <w:lang w:val="en-US" w:eastAsia="zh-CN"/>
        </w:rPr>
        <w:t>洗碗机是《中华人民共和国实行水效标识的产品目录（第二批）》，《洗碗机水效标识实施规则》自2022年4月1日起实施，随着洗碗机能效标准及水效标识实施规则的发布实施，2022年浙江省计量科学研究院牵头制定了洗碗机抽查技术规范，指导检测机构抽查及制造商进行水效标识内部管理，从节能节水环保的需求规范市场，引导行业健康发展。</w:t>
      </w:r>
    </w:p>
    <w:p w14:paraId="440F5DE1">
      <w:pPr>
        <w:keepNext w:val="0"/>
        <w:keepLines w:val="0"/>
        <w:pageBreakBefore w:val="0"/>
        <w:widowControl w:val="0"/>
        <w:kinsoku/>
        <w:wordWrap/>
        <w:overflowPunct/>
        <w:topLinePunct w:val="0"/>
        <w:autoSpaceDE/>
        <w:autoSpaceDN/>
        <w:bidi w:val="0"/>
        <w:adjustRightInd/>
        <w:snapToGrid/>
        <w:spacing w:beforeLines="50" w:line="360" w:lineRule="auto"/>
        <w:textAlignment w:val="auto"/>
        <w:rPr>
          <w:rFonts w:hint="eastAsia" w:ascii="Times New Roman" w:hAnsi="Times New Roman" w:eastAsia="宋体" w:cs="Times New Roman"/>
          <w:b/>
          <w:sz w:val="24"/>
          <w:lang w:val="en-US" w:eastAsia="zh-CN"/>
        </w:rPr>
      </w:pPr>
      <w:r>
        <w:rPr>
          <w:rFonts w:hint="eastAsia" w:ascii="Times New Roman" w:hAnsi="Times New Roman" w:eastAsia="宋体" w:cs="Times New Roman"/>
          <w:b/>
          <w:sz w:val="24"/>
          <w:lang w:val="en-US" w:eastAsia="zh-CN"/>
        </w:rPr>
        <w:t>3.3 洗碗机能效水效测量装置现状</w:t>
      </w:r>
    </w:p>
    <w:p w14:paraId="6D9ABFEC">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hAnsiTheme="minorEastAsia" w:eastAsiaTheme="minorEastAsia"/>
          <w:sz w:val="24"/>
          <w:lang w:val="en-US" w:eastAsia="zh-CN"/>
        </w:rPr>
      </w:pPr>
      <w:r>
        <w:rPr>
          <w:rFonts w:hint="eastAsia" w:hAnsiTheme="minorEastAsia" w:eastAsiaTheme="minorEastAsia"/>
          <w:sz w:val="24"/>
          <w:lang w:val="en-US" w:eastAsia="zh-CN"/>
        </w:rPr>
        <w:t>洗碗机能效水效测量装置是一种集成了多种物理参数的综合测量系统，用于测量洗碗机工作周期耗电量、工作周期耗水量等参数以及评定洗碗机能效指数、水效指数、清洁指数和干燥指数的试验装置；通过恒温恒湿实验室、稳压电源和水控制系统为被测洗碗机提供稳定的运行工况，通常配有电参数测量系统、液体流量计测量系统、温湿度测量系统、压力测量系统等，主要计量仪器包括数字功率计、电磁流量计、工业铂热电阻、温度变送器和压力变送器等，通过采集功率、流量、温度、压力等参数从而得到被测洗碗机的耗电量、用水量及其他各项性能指标。该装置广泛应用于洗碗机生产企业、能效水效检验检测机构。目前，国内尚无相适应的校准规范。</w:t>
      </w:r>
    </w:p>
    <w:p w14:paraId="59C4CEF7">
      <w:pPr>
        <w:keepNext w:val="0"/>
        <w:keepLines w:val="0"/>
        <w:pageBreakBefore w:val="0"/>
        <w:widowControl w:val="0"/>
        <w:kinsoku/>
        <w:wordWrap/>
        <w:overflowPunct/>
        <w:topLinePunct w:val="0"/>
        <w:autoSpaceDE/>
        <w:autoSpaceDN/>
        <w:bidi w:val="0"/>
        <w:adjustRightInd/>
        <w:snapToGrid/>
        <w:spacing w:beforeLines="50" w:line="360" w:lineRule="auto"/>
        <w:textAlignment w:val="auto"/>
        <w:rPr>
          <w:rFonts w:hint="eastAsia" w:ascii="Times New Roman" w:hAnsi="Times New Roman" w:eastAsia="宋体" w:cs="Times New Roman"/>
          <w:b/>
          <w:sz w:val="24"/>
          <w:lang w:val="en-US" w:eastAsia="zh-CN"/>
        </w:rPr>
      </w:pPr>
      <w:r>
        <w:rPr>
          <w:rFonts w:hint="eastAsia" w:ascii="Times New Roman" w:hAnsi="Times New Roman" w:eastAsia="宋体" w:cs="Times New Roman"/>
          <w:b/>
          <w:sz w:val="24"/>
          <w:lang w:val="en-US" w:eastAsia="zh-CN"/>
        </w:rPr>
        <w:t>3.4 洗碗机能效水效检测机构现状</w:t>
      </w:r>
    </w:p>
    <w:p w14:paraId="5B7D3336">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hAnsiTheme="minorEastAsia" w:eastAsiaTheme="minorEastAsia"/>
          <w:sz w:val="24"/>
          <w:lang w:val="en-US" w:eastAsia="zh-CN"/>
        </w:rPr>
      </w:pPr>
      <w:r>
        <w:rPr>
          <w:rFonts w:hint="eastAsia" w:hAnsiTheme="minorEastAsia" w:eastAsiaTheme="minorEastAsia"/>
          <w:sz w:val="24"/>
          <w:lang w:val="en-US" w:eastAsia="zh-CN"/>
        </w:rPr>
        <w:t xml:space="preserve">目前，国内开展洗碗机能效水效检测的单位大多集中在质检机构、海关和机械行业的专业实验室，部分计量部门技术机构也有所开展。近年来，随着能源资源计量工作的有序推进和地方政府对节能节水工作的高度重视，以及水效标识宣传的深入及民众节水绿色消费意识的提高，水效推进工作显得尤为重要。在总局计量司的推动下，各省级计量技术机构纷纷建立国家能源计量中心，加大在能效水效检测实验室建设、专业人才和技术能力上的投入和建设。目前全国超过20多家计量技术机构建立不同程度的能效或水效计量检测实验室。 </w:t>
      </w:r>
    </w:p>
    <w:p w14:paraId="06633881">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hAnsiTheme="minorEastAsia" w:eastAsiaTheme="minorEastAsia"/>
          <w:sz w:val="24"/>
          <w:lang w:val="en-US" w:eastAsia="zh-CN"/>
        </w:rPr>
      </w:pPr>
      <w:r>
        <w:rPr>
          <w:rFonts w:hint="eastAsia" w:hAnsiTheme="minorEastAsia" w:eastAsiaTheme="minorEastAsia"/>
          <w:sz w:val="24"/>
          <w:lang w:val="en-US" w:eastAsia="zh-CN"/>
        </w:rPr>
        <w:t>洗碗机能效水效测量装置为多种测量系统搭建组成，通过对不同行业能效水效检测实验室的调研发现，该测量装置无固定统一的生产厂商，比如电参数测量仪，有日本横河生产的型号为WT3000的高精度数字功率计，也有杭州远方生产的型号为PF210的数字功率计；再比如数字式温湿度计，有国外进口rotronic、visala等厂商的产品，也有国产杭州路格、江苏精创等厂商的产品。通过调研与横向比较还发现，不论测量装置如何搭建、如何组成，最终达到的测量目的就是为了满足GB 38383-2019洗碗机能效水效限定值及等级、GB/T 20290-2016家用电动洗碗机 性能测试方法、QB/T 1520-2013家用和类似用途电动洗碗机的技术要求，科学合理地评价洗碗机的能效水效。</w:t>
      </w:r>
    </w:p>
    <w:p w14:paraId="32D302BA">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hAnsiTheme="minorEastAsia" w:eastAsiaTheme="minorEastAsia"/>
          <w:sz w:val="24"/>
          <w:lang w:val="en-US" w:eastAsia="zh-CN"/>
        </w:rPr>
      </w:pPr>
      <w:r>
        <w:rPr>
          <w:rFonts w:hint="eastAsia" w:hAnsiTheme="minorEastAsia" w:eastAsiaTheme="minorEastAsia"/>
          <w:sz w:val="24"/>
          <w:lang w:val="en-US" w:eastAsia="zh-CN"/>
        </w:rPr>
        <w:t>随着</w:t>
      </w:r>
      <w:r>
        <w:rPr>
          <w:rFonts w:hint="eastAsia" w:hAnsiTheme="minorEastAsia" w:eastAsiaTheme="minorEastAsia"/>
          <w:sz w:val="24"/>
          <w:lang w:val="en-US" w:eastAsia="zh-CN"/>
        </w:rPr>
        <w:fldChar w:fldCharType="begin"/>
      </w:r>
      <w:r>
        <w:rPr>
          <w:rFonts w:hint="eastAsia" w:hAnsiTheme="minorEastAsia" w:eastAsiaTheme="minorEastAsia"/>
          <w:sz w:val="24"/>
          <w:lang w:val="en-US" w:eastAsia="zh-CN"/>
        </w:rPr>
        <w:instrText xml:space="preserve"> HYPERLINK "http://www.chinabgao.com/k/xiwanji.html" </w:instrText>
      </w:r>
      <w:r>
        <w:rPr>
          <w:rFonts w:hint="eastAsia" w:hAnsiTheme="minorEastAsia" w:eastAsiaTheme="minorEastAsia"/>
          <w:sz w:val="24"/>
          <w:lang w:val="en-US" w:eastAsia="zh-CN"/>
        </w:rPr>
        <w:fldChar w:fldCharType="separate"/>
      </w:r>
      <w:r>
        <w:rPr>
          <w:rFonts w:hint="eastAsia" w:hAnsiTheme="minorEastAsia" w:eastAsiaTheme="minorEastAsia"/>
          <w:sz w:val="24"/>
          <w:lang w:val="en-US" w:eastAsia="zh-CN"/>
        </w:rPr>
        <w:t>洗碗机</w:t>
      </w:r>
      <w:r>
        <w:rPr>
          <w:rFonts w:hint="eastAsia" w:hAnsiTheme="minorEastAsia" w:eastAsiaTheme="minorEastAsia"/>
          <w:sz w:val="24"/>
          <w:lang w:val="en-US" w:eastAsia="zh-CN"/>
        </w:rPr>
        <w:fldChar w:fldCharType="end"/>
      </w:r>
      <w:r>
        <w:rPr>
          <w:rFonts w:hint="eastAsia" w:hAnsiTheme="minorEastAsia" w:eastAsiaTheme="minorEastAsia"/>
          <w:sz w:val="24"/>
          <w:lang w:val="en-US" w:eastAsia="zh-CN"/>
        </w:rPr>
        <w:t>消费者认可度快速提升，洗碗机销售额、销售量同步高速增长，目前洗碗机在我国渗透率不足3%，远低于欧美发达国家70%左右的渗透率。近年来，洗碗机企业数量以及品牌也越来越多，企业间的竞争格外激烈，海尔、美的、博世和方太等洗碗机厂家在中国市场布局已超过十年，通过用户调研及技术研发，解决了中式餐具洗涤及中式厨房安装等多种问题，洗碗机用户接受程度及市场容量逐年提升，在不久的将来，产业发展空间巨大，前景看好。这势必会给洗碗机能效水效测量装置的使用带来迅猛发展，除了质检机构、计量技术机构、机械行业机构外，社会上也会大量出现第三方检验检测实验室。因此，对测量装置整体进行校准检测，也将是行业发展的主流方向。</w:t>
      </w:r>
    </w:p>
    <w:p w14:paraId="56DBF126">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b/>
          <w:sz w:val="24"/>
          <w:lang w:val="en-US" w:eastAsia="zh-CN"/>
        </w:rPr>
      </w:pPr>
      <w:r>
        <w:rPr>
          <w:rFonts w:hint="eastAsia" w:ascii="Times New Roman" w:cs="Times New Roman" w:hAnsiTheme="minorEastAsia" w:eastAsiaTheme="minorEastAsia"/>
          <w:sz w:val="24"/>
          <w:lang w:val="en-US" w:eastAsia="zh-CN"/>
        </w:rPr>
        <w:t>综上所述，为保障科学、合理、准确</w:t>
      </w:r>
      <w:bookmarkStart w:id="0" w:name="_GoBack"/>
      <w:bookmarkEnd w:id="0"/>
      <w:r>
        <w:rPr>
          <w:rFonts w:hint="eastAsia" w:ascii="Times New Roman" w:cs="Times New Roman" w:hAnsiTheme="minorEastAsia" w:eastAsiaTheme="minorEastAsia"/>
          <w:sz w:val="24"/>
          <w:lang w:val="en-US" w:eastAsia="zh-CN"/>
        </w:rPr>
        <w:t>地评定洗碗机产品能效水效等级，首先需要对其产品测量装置的计量性能进行量值统一，有必要制定全国统一的洗碗机能效水效测量装置校准规范。</w:t>
      </w:r>
    </w:p>
    <w:p w14:paraId="2FB33E1C">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4. 制定原则</w:t>
      </w:r>
    </w:p>
    <w:p w14:paraId="3C3215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color w:val="000000"/>
          <w:kern w:val="0"/>
          <w:sz w:val="24"/>
          <w:lang w:val="zh-CN"/>
        </w:rPr>
      </w:pPr>
      <w:r>
        <w:rPr>
          <w:rFonts w:hAnsi="宋体"/>
          <w:color w:val="000000"/>
          <w:kern w:val="0"/>
          <w:sz w:val="24"/>
          <w:lang w:val="zh-CN"/>
        </w:rPr>
        <w:t>根据</w:t>
      </w:r>
      <w:r>
        <w:rPr>
          <w:rFonts w:hint="eastAsia" w:hAnsi="宋体"/>
          <w:color w:val="000000"/>
          <w:kern w:val="0"/>
          <w:sz w:val="24"/>
          <w:lang w:val="en-US" w:eastAsia="zh-CN"/>
        </w:rPr>
        <w:t>洗碗机</w:t>
      </w:r>
      <w:r>
        <w:rPr>
          <w:rFonts w:hint="eastAsia" w:hAnsi="宋体"/>
          <w:color w:val="000000"/>
          <w:kern w:val="0"/>
          <w:sz w:val="24"/>
          <w:lang w:val="zh-CN"/>
        </w:rPr>
        <w:t>能效</w:t>
      </w:r>
      <w:r>
        <w:rPr>
          <w:rFonts w:hint="eastAsia" w:hAnsi="宋体"/>
          <w:color w:val="000000"/>
          <w:kern w:val="0"/>
          <w:sz w:val="24"/>
          <w:lang w:val="en-US" w:eastAsia="zh-CN"/>
        </w:rPr>
        <w:t>水效</w:t>
      </w:r>
      <w:r>
        <w:rPr>
          <w:rFonts w:hint="eastAsia" w:hAnsi="宋体"/>
          <w:color w:val="000000"/>
          <w:kern w:val="0"/>
          <w:sz w:val="24"/>
          <w:lang w:val="zh-CN"/>
        </w:rPr>
        <w:t>测量装置</w:t>
      </w:r>
      <w:r>
        <w:rPr>
          <w:rFonts w:hAnsi="宋体"/>
          <w:color w:val="000000"/>
          <w:kern w:val="0"/>
          <w:sz w:val="24"/>
          <w:lang w:val="zh-CN"/>
        </w:rPr>
        <w:t>的工作原理，结合各企事业对</w:t>
      </w:r>
      <w:r>
        <w:rPr>
          <w:rFonts w:hint="eastAsia" w:hAnsi="宋体"/>
          <w:color w:val="000000"/>
          <w:kern w:val="0"/>
          <w:sz w:val="24"/>
          <w:lang w:val="en-US" w:eastAsia="zh-CN"/>
        </w:rPr>
        <w:t>洗碗机</w:t>
      </w:r>
      <w:r>
        <w:rPr>
          <w:rFonts w:hint="eastAsia" w:hAnsi="宋体"/>
          <w:color w:val="000000"/>
          <w:kern w:val="0"/>
          <w:sz w:val="24"/>
          <w:lang w:val="zh-CN"/>
        </w:rPr>
        <w:t>能效</w:t>
      </w:r>
      <w:r>
        <w:rPr>
          <w:rFonts w:hint="eastAsia" w:hAnsi="宋体"/>
          <w:color w:val="000000"/>
          <w:kern w:val="0"/>
          <w:sz w:val="24"/>
          <w:lang w:val="en-US" w:eastAsia="zh-CN"/>
        </w:rPr>
        <w:t>水效</w:t>
      </w:r>
      <w:r>
        <w:rPr>
          <w:rFonts w:hAnsi="宋体"/>
          <w:color w:val="000000"/>
          <w:kern w:val="0"/>
          <w:sz w:val="24"/>
          <w:lang w:val="zh-CN"/>
        </w:rPr>
        <w:t>测量装置的使用情况，</w:t>
      </w:r>
      <w:r>
        <w:rPr>
          <w:rFonts w:hint="eastAsia" w:hAnsi="宋体"/>
          <w:color w:val="000000"/>
          <w:kern w:val="0"/>
          <w:sz w:val="24"/>
          <w:lang w:val="zh-CN"/>
        </w:rPr>
        <w:t>参照</w:t>
      </w:r>
      <w:r>
        <w:rPr>
          <w:rFonts w:hint="eastAsia"/>
          <w:sz w:val="24"/>
        </w:rPr>
        <w:t>用水量</w:t>
      </w:r>
      <w:r>
        <w:rPr>
          <w:rFonts w:hint="eastAsia"/>
          <w:sz w:val="24"/>
          <w:lang w:eastAsia="zh-CN"/>
        </w:rPr>
        <w:t>、</w:t>
      </w:r>
      <w:r>
        <w:rPr>
          <w:rFonts w:hint="eastAsia"/>
          <w:sz w:val="24"/>
          <w:lang w:val="en-US" w:eastAsia="zh-CN"/>
        </w:rPr>
        <w:t>用电量</w:t>
      </w:r>
      <w:r>
        <w:rPr>
          <w:rFonts w:hint="eastAsia"/>
          <w:sz w:val="24"/>
        </w:rPr>
        <w:t>测量不确定度分量评定结果，对影响能效指数</w:t>
      </w:r>
      <w:r>
        <w:rPr>
          <w:rFonts w:hint="eastAsia"/>
          <w:sz w:val="24"/>
          <w:lang w:eastAsia="zh-CN"/>
        </w:rPr>
        <w:t>、</w:t>
      </w:r>
      <w:r>
        <w:rPr>
          <w:rFonts w:hint="eastAsia"/>
          <w:sz w:val="24"/>
          <w:lang w:val="en-US" w:eastAsia="zh-CN"/>
        </w:rPr>
        <w:t>水效指数</w:t>
      </w:r>
      <w:r>
        <w:rPr>
          <w:rFonts w:hint="eastAsia"/>
          <w:sz w:val="24"/>
        </w:rPr>
        <w:t>计算的关键参数进行现场校准和修正。此外，根据</w:t>
      </w:r>
      <w:r>
        <w:rPr>
          <w:rFonts w:hint="eastAsia"/>
          <w:sz w:val="24"/>
          <w:lang w:val="en-US" w:eastAsia="zh-CN"/>
        </w:rPr>
        <w:t>洗碗机</w:t>
      </w:r>
      <w:r>
        <w:rPr>
          <w:rFonts w:hint="eastAsia"/>
          <w:sz w:val="24"/>
        </w:rPr>
        <w:t>行业的需求，本规范制定过程中着重考虑了现场校准可行性和成本控制等实际问题。</w:t>
      </w:r>
    </w:p>
    <w:p w14:paraId="24908774">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5. 制定过程</w:t>
      </w:r>
    </w:p>
    <w:p w14:paraId="06065573">
      <w:pPr>
        <w:keepNext w:val="0"/>
        <w:keepLines w:val="0"/>
        <w:pageBreakBefore w:val="0"/>
        <w:widowControl w:val="0"/>
        <w:kinsoku/>
        <w:wordWrap/>
        <w:overflowPunct/>
        <w:topLinePunct w:val="0"/>
        <w:autoSpaceDE/>
        <w:autoSpaceDN/>
        <w:bidi w:val="0"/>
        <w:adjustRightInd/>
        <w:snapToGrid/>
        <w:spacing w:line="360" w:lineRule="auto"/>
        <w:textAlignment w:val="auto"/>
        <w:rPr>
          <w:b/>
          <w:sz w:val="24"/>
        </w:rPr>
      </w:pPr>
      <w:r>
        <w:rPr>
          <w:rFonts w:hint="eastAsia"/>
          <w:b/>
          <w:sz w:val="24"/>
        </w:rPr>
        <w:t>5.1 调研阶段</w:t>
      </w:r>
    </w:p>
    <w:p w14:paraId="3F0671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20</w:t>
      </w:r>
      <w:r>
        <w:rPr>
          <w:rFonts w:hint="eastAsia"/>
          <w:sz w:val="24"/>
          <w:lang w:val="en-US" w:eastAsia="zh-CN"/>
        </w:rPr>
        <w:t>23</w:t>
      </w:r>
      <w:r>
        <w:rPr>
          <w:rFonts w:hint="eastAsia"/>
          <w:sz w:val="24"/>
        </w:rPr>
        <w:t>年6月，</w:t>
      </w:r>
      <w:r>
        <w:rPr>
          <w:rFonts w:hint="eastAsia"/>
          <w:sz w:val="24"/>
          <w:lang w:val="en-US" w:eastAsia="zh-CN"/>
        </w:rPr>
        <w:t>浙江省计量科学研究院</w:t>
      </w:r>
      <w:r>
        <w:rPr>
          <w:rFonts w:hint="eastAsia"/>
          <w:sz w:val="24"/>
        </w:rPr>
        <w:t>接到起草任务后，对相关国家标准、检测规范、校准规范和国内外文献内容进行了详细梳理，撰写了规范制定的原则、总体路线、依据内容和注意事项等，征求相关单位和企业的初步意见和意向，并根据汇总结果形成了初步编制方案和起草组人员构成。</w:t>
      </w:r>
    </w:p>
    <w:p w14:paraId="7AC3938B">
      <w:pPr>
        <w:keepNext w:val="0"/>
        <w:keepLines w:val="0"/>
        <w:pageBreakBefore w:val="0"/>
        <w:widowControl w:val="0"/>
        <w:kinsoku/>
        <w:wordWrap/>
        <w:overflowPunct/>
        <w:topLinePunct w:val="0"/>
        <w:autoSpaceDE/>
        <w:autoSpaceDN/>
        <w:bidi w:val="0"/>
        <w:adjustRightInd/>
        <w:snapToGrid/>
        <w:spacing w:line="360" w:lineRule="auto"/>
        <w:textAlignment w:val="auto"/>
        <w:rPr>
          <w:b/>
          <w:sz w:val="24"/>
        </w:rPr>
      </w:pPr>
      <w:r>
        <w:rPr>
          <w:rFonts w:hint="eastAsia"/>
          <w:b/>
          <w:sz w:val="24"/>
        </w:rPr>
        <w:t>5.2 第一次工作会议</w:t>
      </w:r>
    </w:p>
    <w:p w14:paraId="389D23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20</w:t>
      </w:r>
      <w:r>
        <w:rPr>
          <w:rFonts w:hint="eastAsia"/>
          <w:sz w:val="24"/>
          <w:lang w:val="en-US" w:eastAsia="zh-CN"/>
        </w:rPr>
        <w:t>23</w:t>
      </w:r>
      <w:r>
        <w:rPr>
          <w:rFonts w:hint="eastAsia"/>
          <w:sz w:val="24"/>
        </w:rPr>
        <w:t>年</w:t>
      </w:r>
      <w:r>
        <w:rPr>
          <w:rFonts w:hint="eastAsia"/>
          <w:sz w:val="24"/>
          <w:lang w:val="en-US" w:eastAsia="zh-CN"/>
        </w:rPr>
        <w:t>12</w:t>
      </w:r>
      <w:r>
        <w:rPr>
          <w:rFonts w:hint="eastAsia"/>
          <w:sz w:val="24"/>
        </w:rPr>
        <w:t>月，针对前期搜集资料情况，制定规范初稿，本规范的适用范围及注意事项，明确与现行国家标准、规范保持一致性的编写要求。</w:t>
      </w:r>
    </w:p>
    <w:p w14:paraId="441E5626">
      <w:pPr>
        <w:keepNext w:val="0"/>
        <w:keepLines w:val="0"/>
        <w:pageBreakBefore w:val="0"/>
        <w:widowControl w:val="0"/>
        <w:kinsoku/>
        <w:wordWrap/>
        <w:overflowPunct/>
        <w:topLinePunct w:val="0"/>
        <w:autoSpaceDE/>
        <w:autoSpaceDN/>
        <w:bidi w:val="0"/>
        <w:adjustRightInd/>
        <w:snapToGrid/>
        <w:spacing w:line="360" w:lineRule="auto"/>
        <w:textAlignment w:val="auto"/>
        <w:rPr>
          <w:b/>
          <w:sz w:val="24"/>
        </w:rPr>
      </w:pPr>
      <w:r>
        <w:rPr>
          <w:rFonts w:hint="eastAsia"/>
          <w:b/>
          <w:sz w:val="24"/>
        </w:rPr>
        <w:t>5.3 第二次工作会议</w:t>
      </w:r>
    </w:p>
    <w:p w14:paraId="302A62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
          <w:sz w:val="24"/>
        </w:rPr>
      </w:pPr>
      <w:r>
        <w:rPr>
          <w:rFonts w:hint="eastAsia"/>
          <w:sz w:val="24"/>
        </w:rPr>
        <w:t>202</w:t>
      </w:r>
      <w:r>
        <w:rPr>
          <w:rFonts w:hint="eastAsia"/>
          <w:sz w:val="24"/>
          <w:lang w:val="en-US" w:eastAsia="zh-CN"/>
        </w:rPr>
        <w:t>4</w:t>
      </w:r>
      <w:r>
        <w:rPr>
          <w:rFonts w:hint="eastAsia"/>
          <w:sz w:val="24"/>
        </w:rPr>
        <w:t>年</w:t>
      </w:r>
      <w:r>
        <w:rPr>
          <w:rFonts w:hint="eastAsia"/>
          <w:sz w:val="24"/>
          <w:lang w:val="en-US" w:eastAsia="zh-CN"/>
        </w:rPr>
        <w:t>3</w:t>
      </w:r>
      <w:r>
        <w:rPr>
          <w:rFonts w:hint="eastAsia"/>
          <w:sz w:val="24"/>
        </w:rPr>
        <w:t>月，根据初稿，进行相应试验，并进行修改，将修改稿在编制组内，进行小范围征求意见，形成初步征求意见稿。</w:t>
      </w:r>
    </w:p>
    <w:p w14:paraId="14E2A7FA">
      <w:pPr>
        <w:keepNext w:val="0"/>
        <w:keepLines w:val="0"/>
        <w:pageBreakBefore w:val="0"/>
        <w:widowControl w:val="0"/>
        <w:kinsoku/>
        <w:wordWrap/>
        <w:overflowPunct/>
        <w:topLinePunct w:val="0"/>
        <w:autoSpaceDE/>
        <w:autoSpaceDN/>
        <w:bidi w:val="0"/>
        <w:adjustRightInd/>
        <w:snapToGrid/>
        <w:spacing w:line="360" w:lineRule="auto"/>
        <w:textAlignment w:val="auto"/>
        <w:rPr>
          <w:b/>
          <w:sz w:val="24"/>
        </w:rPr>
      </w:pPr>
      <w:r>
        <w:rPr>
          <w:rFonts w:hint="eastAsia"/>
          <w:b/>
          <w:sz w:val="24"/>
        </w:rPr>
        <w:t>5.4 第三次工作会议</w:t>
      </w:r>
    </w:p>
    <w:p w14:paraId="06B9A2EC">
      <w:pPr>
        <w:keepNext w:val="0"/>
        <w:keepLines w:val="0"/>
        <w:pageBreakBefore w:val="0"/>
        <w:widowControl w:val="0"/>
        <w:kinsoku/>
        <w:wordWrap/>
        <w:overflowPunct/>
        <w:topLinePunct w:val="0"/>
        <w:autoSpaceDE/>
        <w:autoSpaceDN/>
        <w:bidi w:val="0"/>
        <w:adjustRightInd/>
        <w:snapToGrid/>
        <w:spacing w:beforeLines="50" w:line="360" w:lineRule="auto"/>
        <w:ind w:firstLine="480" w:firstLineChars="200"/>
        <w:textAlignment w:val="auto"/>
        <w:rPr>
          <w:rFonts w:hint="eastAsia"/>
          <w:sz w:val="24"/>
          <w:lang w:eastAsia="zh-CN"/>
        </w:rPr>
      </w:pPr>
      <w:r>
        <w:rPr>
          <w:rFonts w:hint="eastAsia"/>
          <w:sz w:val="24"/>
        </w:rPr>
        <w:t>202</w:t>
      </w:r>
      <w:r>
        <w:rPr>
          <w:rFonts w:hint="eastAsia"/>
          <w:sz w:val="24"/>
          <w:lang w:val="en-US" w:eastAsia="zh-CN"/>
        </w:rPr>
        <w:t>4</w:t>
      </w:r>
      <w:r>
        <w:rPr>
          <w:rFonts w:hint="eastAsia"/>
          <w:sz w:val="24"/>
        </w:rPr>
        <w:t>年</w:t>
      </w:r>
      <w:r>
        <w:rPr>
          <w:rFonts w:hint="eastAsia"/>
          <w:sz w:val="24"/>
          <w:lang w:val="en-US" w:eastAsia="zh-CN"/>
        </w:rPr>
        <w:t>6</w:t>
      </w:r>
      <w:r>
        <w:rPr>
          <w:rFonts w:hint="eastAsia"/>
          <w:sz w:val="24"/>
        </w:rPr>
        <w:t>月起草小组</w:t>
      </w:r>
      <w:r>
        <w:rPr>
          <w:rFonts w:hint="eastAsia"/>
          <w:sz w:val="24"/>
          <w:lang w:val="en-US" w:eastAsia="zh-CN"/>
        </w:rPr>
        <w:t>在宁波慈溪宁波方太厨具有限公司企业内，</w:t>
      </w:r>
      <w:r>
        <w:rPr>
          <w:rFonts w:hint="eastAsia"/>
          <w:sz w:val="24"/>
        </w:rPr>
        <w:t>召开规范起草交流会，</w:t>
      </w:r>
      <w:r>
        <w:rPr>
          <w:rFonts w:hint="eastAsia"/>
          <w:sz w:val="24"/>
          <w:lang w:eastAsia="zh-CN"/>
        </w:rPr>
        <w:t>并组织</w:t>
      </w:r>
      <w:r>
        <w:rPr>
          <w:rFonts w:hint="eastAsia"/>
          <w:sz w:val="24"/>
          <w:lang w:val="en-US" w:eastAsia="zh-CN"/>
        </w:rPr>
        <w:t>杭州老板电器股份有限公司</w:t>
      </w:r>
      <w:r>
        <w:rPr>
          <w:rFonts w:hint="eastAsia"/>
          <w:sz w:val="24"/>
          <w:lang w:eastAsia="zh-CN"/>
        </w:rPr>
        <w:t>、</w:t>
      </w:r>
      <w:r>
        <w:rPr>
          <w:rFonts w:hint="eastAsia"/>
          <w:sz w:val="24"/>
          <w:lang w:val="en-US" w:eastAsia="zh-CN"/>
        </w:rPr>
        <w:t>宁波方太厨具有限公司、</w:t>
      </w:r>
      <w:r>
        <w:rPr>
          <w:rFonts w:hint="eastAsia" w:ascii="Times New Roman" w:hAnsi="Times New Roman" w:cs="Times New Roman"/>
          <w:sz w:val="24"/>
          <w:lang w:val="en-US" w:eastAsia="zh-CN"/>
        </w:rPr>
        <w:t>青岛声达技术有限公司</w:t>
      </w:r>
      <w:r>
        <w:rPr>
          <w:rFonts w:hint="eastAsia"/>
          <w:sz w:val="24"/>
          <w:lang w:eastAsia="zh-CN"/>
        </w:rPr>
        <w:t>等单位</w:t>
      </w:r>
      <w:r>
        <w:rPr>
          <w:rFonts w:hint="eastAsia"/>
          <w:sz w:val="24"/>
          <w:lang w:val="en-US" w:eastAsia="zh-CN"/>
        </w:rPr>
        <w:t>专家</w:t>
      </w:r>
      <w:r>
        <w:rPr>
          <w:rFonts w:hint="eastAsia"/>
          <w:sz w:val="24"/>
          <w:lang w:eastAsia="zh-CN"/>
        </w:rPr>
        <w:t>，就</w:t>
      </w:r>
      <w:r>
        <w:rPr>
          <w:rFonts w:hint="eastAsia"/>
          <w:sz w:val="24"/>
          <w:lang w:val="en-US" w:eastAsia="zh-CN"/>
        </w:rPr>
        <w:t>洗碗机</w:t>
      </w:r>
      <w:r>
        <w:rPr>
          <w:rFonts w:hint="eastAsia"/>
          <w:sz w:val="24"/>
          <w:lang w:eastAsia="zh-CN"/>
        </w:rPr>
        <w:t>水效</w:t>
      </w:r>
      <w:r>
        <w:rPr>
          <w:rFonts w:hint="eastAsia"/>
          <w:sz w:val="24"/>
          <w:lang w:val="en-US" w:eastAsia="zh-CN"/>
        </w:rPr>
        <w:t>能效测量装置的校准要求、校准方法、不确定度评定等问题进行研讨</w:t>
      </w:r>
      <w:r>
        <w:rPr>
          <w:rFonts w:hint="eastAsia"/>
          <w:sz w:val="24"/>
          <w:lang w:eastAsia="zh-CN"/>
        </w:rPr>
        <w:t>，</w:t>
      </w:r>
      <w:r>
        <w:rPr>
          <w:rFonts w:hint="eastAsia"/>
          <w:sz w:val="24"/>
          <w:lang w:val="en-US" w:eastAsia="zh-CN"/>
        </w:rPr>
        <w:t>提出修改意见，于2024年7月底形成征求意见稿</w:t>
      </w:r>
      <w:r>
        <w:rPr>
          <w:rFonts w:hint="eastAsia"/>
          <w:sz w:val="24"/>
          <w:lang w:eastAsia="zh-CN"/>
        </w:rPr>
        <w:t>。</w:t>
      </w:r>
    </w:p>
    <w:p w14:paraId="0E2CA01E">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6. 规范的先进性</w:t>
      </w:r>
    </w:p>
    <w:p w14:paraId="021088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 xml:space="preserve"> 本次起草的《</w:t>
      </w:r>
      <w:r>
        <w:rPr>
          <w:rFonts w:hint="eastAsia" w:hAnsi="宋体"/>
          <w:color w:val="000000"/>
          <w:kern w:val="0"/>
          <w:sz w:val="24"/>
          <w:lang w:val="en-US" w:eastAsia="zh-CN"/>
        </w:rPr>
        <w:t>洗碗机</w:t>
      </w:r>
      <w:r>
        <w:rPr>
          <w:rFonts w:hint="eastAsia" w:hAnsi="宋体"/>
          <w:color w:val="000000"/>
          <w:kern w:val="0"/>
          <w:sz w:val="24"/>
          <w:lang w:val="zh-CN"/>
        </w:rPr>
        <w:t>能效</w:t>
      </w:r>
      <w:r>
        <w:rPr>
          <w:rFonts w:hint="eastAsia" w:hAnsi="宋体"/>
          <w:color w:val="000000"/>
          <w:kern w:val="0"/>
          <w:sz w:val="24"/>
          <w:lang w:val="en-US" w:eastAsia="zh-CN"/>
        </w:rPr>
        <w:t>水效</w:t>
      </w:r>
      <w:r>
        <w:rPr>
          <w:rFonts w:hint="eastAsia" w:hAnsi="宋体"/>
          <w:color w:val="000000"/>
          <w:kern w:val="0"/>
          <w:sz w:val="24"/>
          <w:lang w:val="zh-CN"/>
        </w:rPr>
        <w:t>测量装置校准规范</w:t>
      </w:r>
      <w:r>
        <w:rPr>
          <w:rFonts w:hint="eastAsia"/>
          <w:sz w:val="24"/>
        </w:rPr>
        <w:t>》结合国内外标准中的技术要求，规范了</w:t>
      </w:r>
      <w:r>
        <w:rPr>
          <w:rFonts w:hint="eastAsia" w:hAnsi="宋体"/>
          <w:color w:val="000000"/>
          <w:kern w:val="0"/>
          <w:sz w:val="24"/>
          <w:lang w:val="en-US" w:eastAsia="zh-CN"/>
        </w:rPr>
        <w:t>洗碗机</w:t>
      </w:r>
      <w:r>
        <w:rPr>
          <w:rFonts w:hint="eastAsia" w:hAnsi="宋体"/>
          <w:color w:val="000000"/>
          <w:kern w:val="0"/>
          <w:sz w:val="24"/>
          <w:lang w:val="zh-CN"/>
        </w:rPr>
        <w:t>能效</w:t>
      </w:r>
      <w:r>
        <w:rPr>
          <w:rFonts w:hint="eastAsia" w:hAnsi="宋体"/>
          <w:color w:val="000000"/>
          <w:kern w:val="0"/>
          <w:sz w:val="24"/>
          <w:lang w:val="en-US" w:eastAsia="zh-CN"/>
        </w:rPr>
        <w:t>水效</w:t>
      </w:r>
      <w:r>
        <w:rPr>
          <w:rFonts w:hint="eastAsia" w:hAnsi="宋体"/>
          <w:color w:val="000000"/>
          <w:kern w:val="0"/>
          <w:sz w:val="24"/>
          <w:lang w:val="zh-CN"/>
        </w:rPr>
        <w:t>测量装置</w:t>
      </w:r>
      <w:r>
        <w:rPr>
          <w:rFonts w:hint="eastAsia"/>
          <w:sz w:val="24"/>
        </w:rPr>
        <w:t>现场校准流程，较为合理地满足了</w:t>
      </w:r>
      <w:r>
        <w:rPr>
          <w:rFonts w:hint="eastAsia"/>
          <w:sz w:val="24"/>
          <w:lang w:val="en-US" w:eastAsia="zh-CN"/>
        </w:rPr>
        <w:t>洗碗机</w:t>
      </w:r>
      <w:r>
        <w:rPr>
          <w:rFonts w:hint="eastAsia"/>
          <w:sz w:val="24"/>
        </w:rPr>
        <w:t>行业对</w:t>
      </w:r>
      <w:r>
        <w:rPr>
          <w:rFonts w:hint="eastAsia"/>
          <w:sz w:val="24"/>
          <w:lang w:val="en-US" w:eastAsia="zh-CN"/>
        </w:rPr>
        <w:t>洗碗机</w:t>
      </w:r>
      <w:r>
        <w:rPr>
          <w:rFonts w:hint="eastAsia"/>
          <w:sz w:val="24"/>
        </w:rPr>
        <w:t>能效</w:t>
      </w:r>
      <w:r>
        <w:rPr>
          <w:rFonts w:hint="eastAsia"/>
          <w:sz w:val="24"/>
          <w:lang w:val="en-US" w:eastAsia="zh-CN"/>
        </w:rPr>
        <w:t>水效</w:t>
      </w:r>
      <w:r>
        <w:rPr>
          <w:rFonts w:hint="eastAsia"/>
          <w:sz w:val="24"/>
        </w:rPr>
        <w:t>量值溯源的实际需求。</w:t>
      </w:r>
    </w:p>
    <w:p w14:paraId="0BF4A62B">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7. 与有关的现行法律、规范和强制性国家标准的关系</w:t>
      </w:r>
    </w:p>
    <w:p w14:paraId="5BA2F4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本规范与现行法律、法规和强制性国家标准一致。</w:t>
      </w:r>
    </w:p>
    <w:p w14:paraId="08710596">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8. 重大分歧意见的处理经过和依据</w:t>
      </w:r>
    </w:p>
    <w:p w14:paraId="0D435F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本规规范在制定过程中无重大意见分歧。</w:t>
      </w:r>
    </w:p>
    <w:p w14:paraId="20911821">
      <w:pPr>
        <w:keepNext w:val="0"/>
        <w:keepLines w:val="0"/>
        <w:pageBreakBefore w:val="0"/>
        <w:widowControl w:val="0"/>
        <w:kinsoku/>
        <w:wordWrap/>
        <w:overflowPunct/>
        <w:topLinePunct w:val="0"/>
        <w:autoSpaceDE/>
        <w:autoSpaceDN/>
        <w:bidi w:val="0"/>
        <w:adjustRightInd/>
        <w:snapToGrid/>
        <w:spacing w:beforeLines="50" w:line="360" w:lineRule="auto"/>
        <w:textAlignment w:val="auto"/>
        <w:rPr>
          <w:b/>
          <w:sz w:val="24"/>
        </w:rPr>
      </w:pPr>
      <w:r>
        <w:rPr>
          <w:rFonts w:hint="eastAsia"/>
          <w:b/>
          <w:sz w:val="24"/>
        </w:rPr>
        <w:t>9. 其他应予以说明的事项</w:t>
      </w:r>
    </w:p>
    <w:p w14:paraId="20BA5E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int="eastAsia"/>
          <w:sz w:val="24"/>
        </w:rPr>
        <w:t>本规范不涉及专利、著作权等知识产权内容。</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10527"/>
    </w:sdtPr>
    <w:sdtContent>
      <w:p w14:paraId="55238DC2">
        <w:pPr>
          <w:pStyle w:val="5"/>
          <w:jc w:val="center"/>
        </w:pPr>
        <w:r>
          <w:fldChar w:fldCharType="begin"/>
        </w:r>
        <w:r>
          <w:instrText xml:space="preserve"> PAGE   \* MERGEFORMAT </w:instrText>
        </w:r>
        <w:r>
          <w:fldChar w:fldCharType="separate"/>
        </w:r>
        <w:r>
          <w:rPr>
            <w:lang w:val="zh-CN"/>
          </w:rPr>
          <w:t>3</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0ZmZhMGU2MjA3MWMyM2Q1MTJiZDkwMGY3NDMxOTAifQ=="/>
  </w:docVars>
  <w:rsids>
    <w:rsidRoot w:val="00B54640"/>
    <w:rsid w:val="00002AA3"/>
    <w:rsid w:val="000111A8"/>
    <w:rsid w:val="00024AD0"/>
    <w:rsid w:val="000432E4"/>
    <w:rsid w:val="00045408"/>
    <w:rsid w:val="00065747"/>
    <w:rsid w:val="00072F9E"/>
    <w:rsid w:val="0007518D"/>
    <w:rsid w:val="00081136"/>
    <w:rsid w:val="000967E5"/>
    <w:rsid w:val="000E2DB0"/>
    <w:rsid w:val="000E5EEA"/>
    <w:rsid w:val="00100600"/>
    <w:rsid w:val="0010628C"/>
    <w:rsid w:val="00117225"/>
    <w:rsid w:val="001261FB"/>
    <w:rsid w:val="001459EA"/>
    <w:rsid w:val="001B240D"/>
    <w:rsid w:val="001B7FCF"/>
    <w:rsid w:val="001E60B2"/>
    <w:rsid w:val="001F49A2"/>
    <w:rsid w:val="00223F43"/>
    <w:rsid w:val="00251635"/>
    <w:rsid w:val="002570E7"/>
    <w:rsid w:val="00263B08"/>
    <w:rsid w:val="00270389"/>
    <w:rsid w:val="00277F67"/>
    <w:rsid w:val="002B33FD"/>
    <w:rsid w:val="002C51E6"/>
    <w:rsid w:val="002F3A23"/>
    <w:rsid w:val="002F4F4A"/>
    <w:rsid w:val="002F62C6"/>
    <w:rsid w:val="003573A8"/>
    <w:rsid w:val="00381661"/>
    <w:rsid w:val="0038241B"/>
    <w:rsid w:val="00394E55"/>
    <w:rsid w:val="00395198"/>
    <w:rsid w:val="003D013C"/>
    <w:rsid w:val="003D2031"/>
    <w:rsid w:val="00401C38"/>
    <w:rsid w:val="004860B6"/>
    <w:rsid w:val="004A1A3B"/>
    <w:rsid w:val="004B3375"/>
    <w:rsid w:val="005251DD"/>
    <w:rsid w:val="00562E3C"/>
    <w:rsid w:val="005652D8"/>
    <w:rsid w:val="00574624"/>
    <w:rsid w:val="005A612F"/>
    <w:rsid w:val="006153FD"/>
    <w:rsid w:val="0062394B"/>
    <w:rsid w:val="006271FF"/>
    <w:rsid w:val="006701C4"/>
    <w:rsid w:val="00687895"/>
    <w:rsid w:val="006B1DD1"/>
    <w:rsid w:val="006D7356"/>
    <w:rsid w:val="006F02C0"/>
    <w:rsid w:val="007031ED"/>
    <w:rsid w:val="0071685C"/>
    <w:rsid w:val="00733A45"/>
    <w:rsid w:val="00750174"/>
    <w:rsid w:val="0077158A"/>
    <w:rsid w:val="00771DEF"/>
    <w:rsid w:val="00773570"/>
    <w:rsid w:val="007B25BD"/>
    <w:rsid w:val="007B2834"/>
    <w:rsid w:val="007C5393"/>
    <w:rsid w:val="00826FCD"/>
    <w:rsid w:val="00850060"/>
    <w:rsid w:val="008579E9"/>
    <w:rsid w:val="00874983"/>
    <w:rsid w:val="00893810"/>
    <w:rsid w:val="008C3162"/>
    <w:rsid w:val="008C4F78"/>
    <w:rsid w:val="008D28EC"/>
    <w:rsid w:val="00913326"/>
    <w:rsid w:val="0092603E"/>
    <w:rsid w:val="00946452"/>
    <w:rsid w:val="00946591"/>
    <w:rsid w:val="00957A50"/>
    <w:rsid w:val="009751AB"/>
    <w:rsid w:val="009770CA"/>
    <w:rsid w:val="009D2AF8"/>
    <w:rsid w:val="009E339B"/>
    <w:rsid w:val="009E44E4"/>
    <w:rsid w:val="009E7041"/>
    <w:rsid w:val="009F2C31"/>
    <w:rsid w:val="00A012B3"/>
    <w:rsid w:val="00A04927"/>
    <w:rsid w:val="00A64693"/>
    <w:rsid w:val="00A7623B"/>
    <w:rsid w:val="00A80411"/>
    <w:rsid w:val="00A86118"/>
    <w:rsid w:val="00AA116A"/>
    <w:rsid w:val="00AB7160"/>
    <w:rsid w:val="00AC772D"/>
    <w:rsid w:val="00AE5608"/>
    <w:rsid w:val="00B05475"/>
    <w:rsid w:val="00B07C01"/>
    <w:rsid w:val="00B2138A"/>
    <w:rsid w:val="00B4181C"/>
    <w:rsid w:val="00B54640"/>
    <w:rsid w:val="00B63A7B"/>
    <w:rsid w:val="00B743BA"/>
    <w:rsid w:val="00B7465D"/>
    <w:rsid w:val="00B82E98"/>
    <w:rsid w:val="00B8579F"/>
    <w:rsid w:val="00B86C46"/>
    <w:rsid w:val="00B874B7"/>
    <w:rsid w:val="00BC1746"/>
    <w:rsid w:val="00BC7D1B"/>
    <w:rsid w:val="00BF1A73"/>
    <w:rsid w:val="00C44DF3"/>
    <w:rsid w:val="00CD2418"/>
    <w:rsid w:val="00CF61EA"/>
    <w:rsid w:val="00D25C02"/>
    <w:rsid w:val="00D77E8B"/>
    <w:rsid w:val="00DA3C85"/>
    <w:rsid w:val="00DA5E07"/>
    <w:rsid w:val="00DD3E9D"/>
    <w:rsid w:val="00DE0F1F"/>
    <w:rsid w:val="00E20DC2"/>
    <w:rsid w:val="00E70CBD"/>
    <w:rsid w:val="00E71A9D"/>
    <w:rsid w:val="00EA0A61"/>
    <w:rsid w:val="00F20547"/>
    <w:rsid w:val="00F447F0"/>
    <w:rsid w:val="00F52297"/>
    <w:rsid w:val="00F53ABF"/>
    <w:rsid w:val="00F6753A"/>
    <w:rsid w:val="00F73BA8"/>
    <w:rsid w:val="00F748FC"/>
    <w:rsid w:val="00FD6F04"/>
    <w:rsid w:val="0C4D7C21"/>
    <w:rsid w:val="13F83153"/>
    <w:rsid w:val="1D0417DD"/>
    <w:rsid w:val="22E5145B"/>
    <w:rsid w:val="28041684"/>
    <w:rsid w:val="32401D3A"/>
    <w:rsid w:val="37920351"/>
    <w:rsid w:val="38014AC7"/>
    <w:rsid w:val="3CF64C3C"/>
    <w:rsid w:val="4C835885"/>
    <w:rsid w:val="582A3172"/>
    <w:rsid w:val="5F1365E7"/>
    <w:rsid w:val="5FE25A0A"/>
    <w:rsid w:val="66E02478"/>
    <w:rsid w:val="68EF2E2F"/>
    <w:rsid w:val="74601B33"/>
    <w:rsid w:val="776C40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spacing w:after="120"/>
      <w:ind w:left="420" w:leftChars="200"/>
    </w:pPr>
    <w:rPr>
      <w:szCs w:val="20"/>
    </w:rPr>
  </w:style>
  <w:style w:type="paragraph" w:styleId="3">
    <w:name w:val="Body Text Indent 2"/>
    <w:basedOn w:val="1"/>
    <w:link w:val="16"/>
    <w:uiPriority w:val="0"/>
    <w:pPr>
      <w:spacing w:after="120" w:line="480" w:lineRule="auto"/>
      <w:ind w:left="420" w:leftChars="200"/>
    </w:pPr>
  </w:style>
  <w:style w:type="paragraph" w:styleId="4">
    <w:name w:val="Balloon Text"/>
    <w:basedOn w:val="1"/>
    <w:link w:val="13"/>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customStyle="1" w:styleId="11">
    <w:name w:val="页眉 Char"/>
    <w:basedOn w:val="9"/>
    <w:link w:val="6"/>
    <w:qFormat/>
    <w:uiPriority w:val="0"/>
    <w:rPr>
      <w:kern w:val="2"/>
      <w:sz w:val="18"/>
      <w:szCs w:val="18"/>
    </w:rPr>
  </w:style>
  <w:style w:type="character" w:customStyle="1" w:styleId="12">
    <w:name w:val="页脚 Char"/>
    <w:basedOn w:val="9"/>
    <w:link w:val="5"/>
    <w:qFormat/>
    <w:uiPriority w:val="99"/>
    <w:rPr>
      <w:kern w:val="2"/>
      <w:sz w:val="18"/>
      <w:szCs w:val="18"/>
    </w:rPr>
  </w:style>
  <w:style w:type="character" w:customStyle="1" w:styleId="13">
    <w:name w:val="批注框文本 Char"/>
    <w:basedOn w:val="9"/>
    <w:link w:val="4"/>
    <w:qFormat/>
    <w:uiPriority w:val="0"/>
    <w:rPr>
      <w:kern w:val="2"/>
      <w:sz w:val="18"/>
      <w:szCs w:val="18"/>
    </w:rPr>
  </w:style>
  <w:style w:type="paragraph" w:styleId="14">
    <w:name w:val="List Paragraph"/>
    <w:basedOn w:val="1"/>
    <w:qFormat/>
    <w:uiPriority w:val="34"/>
    <w:pPr>
      <w:ind w:firstLine="420" w:firstLineChars="200"/>
    </w:pPr>
  </w:style>
  <w:style w:type="character" w:customStyle="1" w:styleId="15">
    <w:name w:val="正文文本缩进 Char"/>
    <w:basedOn w:val="9"/>
    <w:link w:val="2"/>
    <w:qFormat/>
    <w:uiPriority w:val="0"/>
    <w:rPr>
      <w:kern w:val="2"/>
      <w:sz w:val="21"/>
    </w:rPr>
  </w:style>
  <w:style w:type="character" w:customStyle="1" w:styleId="16">
    <w:name w:val="正文文本缩进 2 Char"/>
    <w:basedOn w:val="9"/>
    <w:link w:val="3"/>
    <w:qFormat/>
    <w:uiPriority w:val="0"/>
    <w:rPr>
      <w:kern w:val="2"/>
      <w:sz w:val="21"/>
      <w:szCs w:val="24"/>
    </w:rPr>
  </w:style>
  <w:style w:type="paragraph" w:customStyle="1" w:styleId="17">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2100</Words>
  <Characters>2180</Characters>
  <Lines>15</Lines>
  <Paragraphs>4</Paragraphs>
  <TotalTime>0</TotalTime>
  <ScaleCrop>false</ScaleCrop>
  <LinksUpToDate>false</LinksUpToDate>
  <CharactersWithSpaces>2202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2020-04-14T03:09:00Z</dcterms:created>
  <dc:creator>Think</dc:creator>
  <cp:lastModifiedBy>崔超</cp:lastModifiedBy>
  <dcterms:modified xsi:type="dcterms:W3CDTF">2024-07-30T07:08:10Z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C6B2BF83E1304D8B8EA63D93C91DBFAB_12</vt:lpwstr>
  </property>
</Properties>
</file>